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line="240" w:lineRule="auto"/>
        <w:ind w:firstLine="709" w:left="0"/>
        <w:jc w:val="both"/>
        <w:rPr>
          <w:b w:val="1"/>
          <w:i w:val="1"/>
        </w:rPr>
      </w:pPr>
      <w:r>
        <w:rPr>
          <w:rFonts w:ascii="Times New Roman" w:hAnsi="Times New Roman"/>
          <w:b w:val="1"/>
          <w:i w:val="1"/>
          <w:sz w:val="28"/>
        </w:rPr>
        <w:t xml:space="preserve">Об исполнении пункта </w:t>
      </w:r>
      <w:r>
        <w:rPr>
          <w:rFonts w:ascii="Times New Roman" w:hAnsi="Times New Roman"/>
          <w:b w:val="1"/>
          <w:i w:val="1"/>
          <w:sz w:val="28"/>
        </w:rPr>
        <w:t>1.1</w:t>
      </w:r>
      <w:r>
        <w:rPr>
          <w:rFonts w:ascii="Times New Roman" w:hAnsi="Times New Roman"/>
          <w:b w:val="1"/>
          <w:i w:val="1"/>
          <w:sz w:val="28"/>
        </w:rPr>
        <w:t>.2 Пр-03-293</w:t>
      </w:r>
    </w:p>
    <w:p w14:paraId="02000000">
      <w:pPr>
        <w:pStyle w:val="Style_1"/>
        <w:spacing w:line="240" w:lineRule="auto"/>
        <w:ind w:firstLine="709" w:left="0"/>
        <w:jc w:val="both"/>
        <w:rPr>
          <w:i w:val="1"/>
        </w:rPr>
      </w:pPr>
      <w:r>
        <w:rPr>
          <w:rFonts w:ascii="Times New Roman" w:hAnsi="Times New Roman"/>
          <w:i w:val="1"/>
          <w:sz w:val="28"/>
        </w:rPr>
        <w:t>1.1.2. изучить возможности использования интернет-сервиса АКВАВОСТОК.РФ в рамках выработки мер поддержки для предприятий рыбохозяйственной отрасли по воспроизводству аквакультуры Камчатского края</w:t>
      </w:r>
    </w:p>
    <w:p w14:paraId="03000000">
      <w:pPr>
        <w:pStyle w:val="Style_1"/>
        <w:spacing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4000000">
      <w:pPr>
        <w:pStyle w:val="Style_1"/>
        <w:spacing w:line="240" w:lineRule="auto"/>
        <w:ind w:firstLine="709" w:left="0"/>
        <w:jc w:val="both"/>
      </w:pP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нтернет-сервис АКВАВОСТОК.РФ визуализирует доступные морские акватории для разведения аквакультуры и позволяет удал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нно подавать заявление </w:t>
      </w:r>
      <w:r>
        <w:rPr>
          <w:rFonts w:ascii="Times New Roman" w:hAnsi="Times New Roman"/>
          <w:sz w:val="28"/>
        </w:rPr>
        <w:t xml:space="preserve">в Росрыболовство </w:t>
      </w:r>
      <w:r>
        <w:rPr>
          <w:rFonts w:ascii="Times New Roman" w:hAnsi="Times New Roman"/>
          <w:sz w:val="28"/>
        </w:rPr>
        <w:t>на определение границ рыбоводного участка (далее – РВУ) в нужных инвестору координатах, получать актуальную информацию о РВУ, а также принимать участие в торгах в электронной форме на право заключения договора пользования РВУ на ЭТП РТС-Тендер.</w:t>
      </w:r>
    </w:p>
    <w:p w14:paraId="05000000">
      <w:pPr>
        <w:pStyle w:val="Style_1"/>
        <w:spacing w:line="240" w:lineRule="auto"/>
        <w:ind w:firstLine="709" w:left="0"/>
        <w:jc w:val="both"/>
      </w:pPr>
      <w:r>
        <w:rPr>
          <w:rFonts w:ascii="Times New Roman" w:hAnsi="Times New Roman"/>
          <w:sz w:val="28"/>
        </w:rPr>
        <w:t xml:space="preserve">Данный сервис </w:t>
      </w:r>
      <w:r>
        <w:rPr>
          <w:rFonts w:ascii="Times New Roman" w:hAnsi="Times New Roman"/>
          <w:sz w:val="28"/>
        </w:rPr>
        <w:t xml:space="preserve">содержит интерактивную карту и </w:t>
      </w:r>
      <w:r>
        <w:rPr>
          <w:rFonts w:ascii="Times New Roman" w:hAnsi="Times New Roman"/>
          <w:sz w:val="28"/>
        </w:rPr>
        <w:t>разработан в рамках выполнения указаний Президента и Правительства по ускоренному вводу в экономический оборот акваторий дальневосточных морей пут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м устранения избыточных административных барьеров.</w:t>
      </w:r>
    </w:p>
    <w:p w14:paraId="06000000">
      <w:pPr>
        <w:pStyle w:val="Style_1"/>
        <w:spacing w:line="240" w:lineRule="auto"/>
        <w:ind w:firstLine="709" w:left="0"/>
        <w:jc w:val="both"/>
      </w:pPr>
      <w:r>
        <w:rPr>
          <w:rFonts w:ascii="Times New Roman" w:hAnsi="Times New Roman"/>
          <w:sz w:val="28"/>
        </w:rPr>
        <w:t xml:space="preserve">Процесс подготовки и направления заявления от инвестора в Росрыболовство полностью прозрачен и автоматизирован </w:t>
      </w:r>
      <w:r>
        <w:rPr>
          <w:rFonts w:ascii="Times New Roman" w:hAnsi="Times New Roman"/>
          <w:sz w:val="28"/>
        </w:rPr>
        <w:t>путем</w:t>
      </w:r>
      <w:r>
        <w:rPr>
          <w:rFonts w:ascii="Times New Roman" w:hAnsi="Times New Roman"/>
          <w:sz w:val="28"/>
        </w:rPr>
        <w:t xml:space="preserve"> использовани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установленной формы, которую заявители заверяют электронной цифровой подписью.</w:t>
      </w:r>
    </w:p>
    <w:p w14:paraId="07000000">
      <w:pPr>
        <w:pStyle w:val="Style_1"/>
        <w:spacing w:line="240" w:lineRule="auto"/>
        <w:ind w:firstLine="709" w:left="0"/>
        <w:jc w:val="both"/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роцедура оформления прав на пользование РВУ:</w:t>
      </w:r>
    </w:p>
    <w:p w14:paraId="08000000">
      <w:pPr>
        <w:pStyle w:val="Style_1"/>
        <w:spacing w:line="240" w:lineRule="auto"/>
        <w:ind w:firstLine="709" w:left="0"/>
        <w:jc w:val="both"/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одготовительный этап: регистрация на ЭТП РТС-Тендер, регистрация в интернет-сервисе «Аквавосток», получение ЭЦП;</w:t>
      </w:r>
    </w:p>
    <w:p w14:paraId="09000000">
      <w:pPr>
        <w:pStyle w:val="Style_1"/>
        <w:spacing w:line="240" w:lineRule="auto"/>
        <w:ind w:firstLine="709" w:left="0"/>
        <w:jc w:val="both"/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ормирование РВУ и проверка в Росрыболовстве: формирование границ РВУ, подача заявления, получение решения об определении участка, объявление торгов;</w:t>
      </w:r>
    </w:p>
    <w:p w14:paraId="0A000000">
      <w:pPr>
        <w:pStyle w:val="Style_1"/>
        <w:spacing w:line="240" w:lineRule="auto"/>
        <w:ind w:firstLine="709" w:left="0"/>
        <w:jc w:val="both"/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бор заявок на участие в торгах и оплата задатков;</w:t>
      </w:r>
    </w:p>
    <w:p w14:paraId="0B000000">
      <w:pPr>
        <w:pStyle w:val="Style_1"/>
        <w:spacing w:line="240" w:lineRule="auto"/>
        <w:ind w:firstLine="709" w:left="0"/>
        <w:jc w:val="both"/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нализ заявок, допуск участников и подготовка к торгам;</w:t>
      </w:r>
    </w:p>
    <w:p w14:paraId="0C000000">
      <w:pPr>
        <w:pStyle w:val="Style_1"/>
        <w:spacing w:line="240" w:lineRule="auto"/>
        <w:ind w:firstLine="709" w:left="0"/>
        <w:jc w:val="both"/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роведение торгов и выбор победителя;</w:t>
      </w:r>
    </w:p>
    <w:p w14:paraId="0D000000">
      <w:pPr>
        <w:pStyle w:val="Style_1"/>
        <w:spacing w:line="240" w:lineRule="auto"/>
        <w:ind w:firstLine="709" w:left="0"/>
        <w:jc w:val="both"/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еречисление доплаты и подписание договора - 30 рабочих дней.</w:t>
      </w:r>
    </w:p>
    <w:p w14:paraId="0E000000">
      <w:pPr>
        <w:pStyle w:val="Style_1"/>
        <w:spacing w:line="240" w:lineRule="auto"/>
        <w:ind w:firstLine="709" w:left="0"/>
        <w:jc w:val="both"/>
      </w:pPr>
      <w:r>
        <w:rPr>
          <w:rFonts w:ascii="Times New Roman" w:hAnsi="Times New Roman"/>
          <w:sz w:val="28"/>
        </w:rPr>
        <w:t>Порядок РВУ определен постановлением Правительства РФ от 9 апреля 2018 г. № 429, установившим заявительный порядок создания марикультурных участков взамен действовавшего ранее разрешительного порядка и передавшим инициативу создания РВУ от госоргана непосредственно инвестору.</w:t>
      </w:r>
    </w:p>
    <w:p w14:paraId="0F000000">
      <w:pPr>
        <w:pStyle w:val="Style_1"/>
        <w:spacing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0000000">
      <w:pPr>
        <w:pStyle w:val="Style_1"/>
        <w:spacing w:line="240" w:lineRule="auto"/>
        <w:ind w:firstLine="709" w:left="0"/>
        <w:jc w:val="both"/>
      </w:pPr>
      <w:r>
        <w:rPr>
          <w:rFonts w:ascii="Times New Roman" w:hAnsi="Times New Roman"/>
          <w:sz w:val="28"/>
        </w:rPr>
        <w:t xml:space="preserve">Границы РВУ </w:t>
      </w:r>
      <w:r>
        <w:rPr>
          <w:rFonts w:ascii="Times New Roman" w:hAnsi="Times New Roman"/>
          <w:sz w:val="28"/>
        </w:rPr>
        <w:t xml:space="preserve">определяются в соответствии с </w:t>
      </w:r>
      <w:r>
        <w:rPr>
          <w:rFonts w:ascii="Times New Roman" w:hAnsi="Times New Roman"/>
          <w:sz w:val="28"/>
        </w:rPr>
        <w:t>постановлени</w:t>
      </w:r>
      <w:r>
        <w:rPr>
          <w:rFonts w:ascii="Times New Roman" w:hAnsi="Times New Roman"/>
          <w:sz w:val="28"/>
        </w:rPr>
        <w:t>ем</w:t>
      </w:r>
      <w:r>
        <w:rPr>
          <w:rFonts w:ascii="Times New Roman" w:hAnsi="Times New Roman"/>
          <w:sz w:val="28"/>
        </w:rPr>
        <w:t xml:space="preserve"> Правительства </w:t>
      </w:r>
      <w:r>
        <w:rPr>
          <w:rFonts w:ascii="Times New Roman" w:hAnsi="Times New Roman"/>
          <w:sz w:val="28"/>
        </w:rPr>
        <w:t xml:space="preserve">РФ </w:t>
      </w:r>
      <w:r>
        <w:rPr>
          <w:rFonts w:ascii="Times New Roman" w:hAnsi="Times New Roman"/>
          <w:sz w:val="28"/>
        </w:rPr>
        <w:t>от 11 ноября 2014 г. № 1183 «Об утверждении Правил определения береговых линий (границ водных объектов) и (или) границ частей водных объектов, участков континентального шельфа Российской Федерации и участков исключительной экономической зоны Российской Федерации, признаваемых рыбоводными участками».</w:t>
      </w:r>
    </w:p>
    <w:p w14:paraId="11000000">
      <w:pPr>
        <w:pStyle w:val="Style_1"/>
        <w:spacing w:line="240" w:lineRule="auto"/>
        <w:ind w:firstLine="709" w:left="0"/>
        <w:jc w:val="both"/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остановлени</w:t>
      </w:r>
      <w:r>
        <w:rPr>
          <w:rFonts w:ascii="Times New Roman" w:hAnsi="Times New Roman"/>
          <w:sz w:val="28"/>
        </w:rPr>
        <w:t xml:space="preserve">ем </w:t>
      </w:r>
      <w:r>
        <w:rPr>
          <w:rFonts w:ascii="Times New Roman" w:hAnsi="Times New Roman"/>
          <w:sz w:val="28"/>
        </w:rPr>
        <w:t xml:space="preserve">Правительства РФ от 9 апреля 2018 г. № 429 установлен порядок формирования и поддержания информационных баз в актуальном состоянии. </w:t>
      </w:r>
      <w:r>
        <w:rPr>
          <w:rFonts w:ascii="Times New Roman" w:hAnsi="Times New Roman"/>
          <w:sz w:val="28"/>
        </w:rPr>
        <w:t>Указано, что в</w:t>
      </w:r>
      <w:r>
        <w:rPr>
          <w:rFonts w:ascii="Times New Roman" w:hAnsi="Times New Roman"/>
          <w:sz w:val="28"/>
        </w:rPr>
        <w:t>се изменения перечней доступных акваторий публикуются на официальном сайте Минвостокразвития на основании мониторинга изменений нормативно-правовых актов федеральных и региональных органов власти и государственной морской навигационной карты.</w:t>
      </w:r>
    </w:p>
    <w:p w14:paraId="12000000">
      <w:pPr>
        <w:pStyle w:val="Style_1"/>
        <w:spacing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3000000">
      <w:pPr>
        <w:pStyle w:val="Style_1"/>
        <w:spacing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прилегающей к Камчатскому краю морской акватории интернет-сервис «Аквавосток» демонстрирует лишь один РВУ в бухте Вилючинская, договор пользования которым был заключен СВТУ ФАР в 2015 году </w:t>
      </w:r>
      <w:r>
        <w:br/>
      </w:r>
      <w:r>
        <w:rPr>
          <w:rFonts w:ascii="Times New Roman" w:hAnsi="Times New Roman"/>
          <w:sz w:val="28"/>
        </w:rPr>
        <w:t>с ООО «Авача-Трал».</w:t>
      </w:r>
    </w:p>
    <w:p w14:paraId="14000000">
      <w:pPr>
        <w:pStyle w:val="Style_1"/>
        <w:spacing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настоящее время данная информация неактуальна, так как договор расторгнут.</w:t>
      </w:r>
    </w:p>
    <w:sectPr>
      <w:type w:val="nextPage"/>
      <w:pgSz w:h="16838" w:orient="portrait" w:w="11906"/>
      <w:pgMar w:bottom="1134" w:footer="0" w:gutter="0" w:header="0" w:left="1134" w:right="1134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Liberation Serif" w:hAnsi="Liberation Serif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/>
      <w:ind/>
    </w:pPr>
    <w:rPr>
      <w:rFonts w:ascii="Liberation Serif" w:hAnsi="Liberation Serif"/>
      <w:color w:val="000000"/>
      <w:sz w:val="24"/>
    </w:rPr>
  </w:style>
  <w:style w:default="1" w:styleId="Style_1_ch" w:type="character">
    <w:name w:val="Normal"/>
    <w:link w:val="Style_1"/>
    <w:rPr>
      <w:rFonts w:ascii="Liberation Serif" w:hAnsi="Liberation Serif"/>
      <w:color w:val="000000"/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Указатель"/>
    <w:basedOn w:val="Style_1"/>
    <w:link w:val="Style_10_ch"/>
  </w:style>
  <w:style w:styleId="Style_10_ch" w:type="character">
    <w:name w:val="Указатель"/>
    <w:basedOn w:val="Style_1_ch"/>
    <w:link w:val="Style_10"/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Caption"/>
    <w:basedOn w:val="Style_1"/>
    <w:link w:val="Style_14_ch"/>
    <w:pPr>
      <w:spacing w:after="120" w:before="120"/>
      <w:ind/>
    </w:pPr>
    <w:rPr>
      <w:i w:val="1"/>
      <w:sz w:val="24"/>
    </w:rPr>
  </w:style>
  <w:style w:styleId="Style_14_ch" w:type="character">
    <w:name w:val="Caption"/>
    <w:basedOn w:val="Style_1_ch"/>
    <w:link w:val="Style_14"/>
    <w:rPr>
      <w:i w:val="1"/>
      <w:sz w:val="24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Заголовок"/>
    <w:basedOn w:val="Style_1"/>
    <w:next w:val="Style_20"/>
    <w:link w:val="Style_19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9_ch" w:type="character">
    <w:name w:val="Заголовок"/>
    <w:basedOn w:val="Style_1_ch"/>
    <w:link w:val="Style_19"/>
    <w:rPr>
      <w:rFonts w:ascii="Liberation Sans" w:hAnsi="Liberation Sans"/>
      <w:sz w:val="28"/>
    </w:rPr>
  </w:style>
  <w:style w:styleId="Style_21" w:type="paragraph">
    <w:name w:val="Subtitle"/>
    <w:next w:val="Style_1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List"/>
    <w:basedOn w:val="Style_20"/>
    <w:link w:val="Style_22_ch"/>
  </w:style>
  <w:style w:styleId="Style_22_ch" w:type="character">
    <w:name w:val="List"/>
    <w:basedOn w:val="Style_20_ch"/>
    <w:link w:val="Style_22"/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0" w:type="paragraph">
    <w:name w:val="Body Text"/>
    <w:basedOn w:val="Style_1"/>
    <w:link w:val="Style_20_ch"/>
    <w:pPr>
      <w:spacing w:after="140" w:before="0" w:line="276" w:lineRule="auto"/>
      <w:ind/>
    </w:pPr>
  </w:style>
  <w:style w:styleId="Style_20_ch" w:type="character">
    <w:name w:val="Body Text"/>
    <w:basedOn w:val="Style_1_ch"/>
    <w:link w:val="Style_20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>
          <a:prstDash val="solid"/>
        </a:ln>
        <a:ln w="6350">
          <a:prstDash val="solid"/>
        </a:ln>
        <a:ln w="63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2024-12-23T23:06:09Z</dcterms:modified>
</cp:coreProperties>
</file>