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rPr>
          <w:trHeight w:val="2062"/>
        </w:trP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5669915</wp:posOffset>
                  </wp:positionH>
                  <wp:positionV relativeFrom="paragraph">
                    <wp:posOffset>6985</wp:posOffset>
                  </wp:positionV>
                  <wp:extent cx="715645" cy="715645"/>
                  <wp:effectExtent l="0" t="0" r="8255" b="8255"/>
                  <wp:wrapNone/>
                  <wp:docPr id="3" name="Рисунок 3" descr="D:\Users\shenia\Desktop\Формы заявок\Формы заявок Росконгресс\Форма_Заявки_Росконгресс_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shenia\Desktop\Формы заявок\Формы заявок Росконгресс\Форма_Заявки_Росконгресс_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2139027</wp:posOffset>
                  </wp:positionH>
                  <wp:positionV relativeFrom="paragraph">
                    <wp:posOffset>198120</wp:posOffset>
                  </wp:positionV>
                  <wp:extent cx="2000885" cy="494665"/>
                  <wp:effectExtent l="0" t="0" r="0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381b51f4be885ab1948d158c0fd3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Roboto"/>
                <w:b/>
                <w:sz w:val="24"/>
                <w:szCs w:val="24"/>
              </w:rPr>
              <w:t xml:space="preserve">(члены фонда </w:t>
            </w:r>
            <w:proofErr w:type="spellStart"/>
            <w:r>
              <w:rPr>
                <w:rFonts w:eastAsia="Roboto"/>
                <w:b/>
                <w:sz w:val="24"/>
                <w:szCs w:val="24"/>
              </w:rPr>
              <w:t>Росконгресс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>)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>
        <w:tc>
          <w:tcPr>
            <w:tcW w:w="10207" w:type="dxa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</w:tr>
      <w:tr>
        <w:tc>
          <w:tcPr>
            <w:tcW w:w="10207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>
        <w:trPr>
          <w:trHeight w:val="7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>
        <w:trPr>
          <w:trHeight w:val="7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43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2"/>
      <w:headerReference w:type="first" r:id="rId13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77BE8-6F84-4D74-8400-51D0DAB7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shenia</cp:lastModifiedBy>
  <cp:revision>11</cp:revision>
  <cp:lastPrinted>2022-04-22T09:29:00Z</cp:lastPrinted>
  <dcterms:created xsi:type="dcterms:W3CDTF">2022-04-22T09:52:00Z</dcterms:created>
  <dcterms:modified xsi:type="dcterms:W3CDTF">2025-04-28T08:15:00Z</dcterms:modified>
</cp:coreProperties>
</file>